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12A" w:rsidRDefault="00E0512A" w:rsidP="00B33015">
      <w:pPr>
        <w:tabs>
          <w:tab w:val="left" w:pos="54"/>
        </w:tabs>
        <w:autoSpaceDE w:val="0"/>
        <w:autoSpaceDN w:val="0"/>
        <w:adjustRightInd w:val="0"/>
        <w:spacing w:line="240" w:lineRule="atLeast"/>
        <w:ind w:left="54"/>
        <w:rPr>
          <w:rFonts w:ascii="Georgia" w:hAnsi="Georgia" w:cs="Arial"/>
          <w:b/>
          <w:bCs/>
          <w:i/>
          <w:color w:val="000000"/>
          <w:sz w:val="26"/>
          <w:szCs w:val="26"/>
        </w:rPr>
      </w:pPr>
    </w:p>
    <w:p w:rsidR="003F0ECA" w:rsidRDefault="003F0ECA" w:rsidP="00254366">
      <w:pPr>
        <w:tabs>
          <w:tab w:val="left" w:pos="54"/>
        </w:tabs>
        <w:autoSpaceDE w:val="0"/>
        <w:autoSpaceDN w:val="0"/>
        <w:adjustRightInd w:val="0"/>
        <w:spacing w:line="240" w:lineRule="atLeast"/>
        <w:rPr>
          <w:rFonts w:ascii="Georgia" w:hAnsi="Georgia" w:cs="Arial"/>
          <w:b/>
          <w:bCs/>
          <w:i/>
          <w:color w:val="000000"/>
          <w:sz w:val="26"/>
          <w:szCs w:val="26"/>
        </w:rPr>
      </w:pPr>
    </w:p>
    <w:p w:rsidR="003F0ECA" w:rsidRDefault="003F0ECA" w:rsidP="00254366">
      <w:pPr>
        <w:tabs>
          <w:tab w:val="left" w:pos="54"/>
        </w:tabs>
        <w:autoSpaceDE w:val="0"/>
        <w:autoSpaceDN w:val="0"/>
        <w:adjustRightInd w:val="0"/>
        <w:spacing w:line="240" w:lineRule="atLeast"/>
        <w:rPr>
          <w:rFonts w:ascii="Georgia" w:hAnsi="Georgia" w:cs="Arial"/>
          <w:b/>
          <w:bCs/>
          <w:i/>
          <w:color w:val="000000"/>
          <w:sz w:val="26"/>
          <w:szCs w:val="26"/>
        </w:rPr>
      </w:pPr>
    </w:p>
    <w:p w:rsidR="003F0ECA" w:rsidRDefault="003F0ECA" w:rsidP="00254366">
      <w:pPr>
        <w:tabs>
          <w:tab w:val="left" w:pos="54"/>
        </w:tabs>
        <w:autoSpaceDE w:val="0"/>
        <w:autoSpaceDN w:val="0"/>
        <w:adjustRightInd w:val="0"/>
        <w:spacing w:line="240" w:lineRule="atLeast"/>
        <w:rPr>
          <w:rFonts w:ascii="Georgia" w:hAnsi="Georgia" w:cs="Arial"/>
          <w:b/>
          <w:bCs/>
          <w:i/>
          <w:color w:val="000000"/>
          <w:sz w:val="26"/>
          <w:szCs w:val="26"/>
        </w:rPr>
      </w:pPr>
    </w:p>
    <w:p w:rsidR="00AD323D" w:rsidRPr="00D3791A" w:rsidRDefault="00B33015" w:rsidP="00254366">
      <w:pPr>
        <w:tabs>
          <w:tab w:val="left" w:pos="54"/>
        </w:tabs>
        <w:autoSpaceDE w:val="0"/>
        <w:autoSpaceDN w:val="0"/>
        <w:adjustRightInd w:val="0"/>
        <w:spacing w:line="240" w:lineRule="atLeast"/>
        <w:rPr>
          <w:rFonts w:ascii="Georgia" w:hAnsi="Georgia" w:cs="Arial"/>
          <w:b/>
          <w:bCs/>
          <w:i/>
          <w:color w:val="000000"/>
          <w:sz w:val="26"/>
          <w:szCs w:val="26"/>
        </w:rPr>
      </w:pPr>
      <w:r w:rsidRPr="00D3791A">
        <w:rPr>
          <w:rFonts w:ascii="Georgia" w:hAnsi="Georgia" w:cs="Arial"/>
          <w:b/>
          <w:bCs/>
          <w:i/>
          <w:color w:val="000000"/>
          <w:sz w:val="26"/>
          <w:szCs w:val="26"/>
        </w:rPr>
        <w:t>Dictamen de los auditores independientes</w:t>
      </w:r>
    </w:p>
    <w:p w:rsidR="00AD323D" w:rsidRDefault="00AD323D" w:rsidP="00B33015">
      <w:pPr>
        <w:tabs>
          <w:tab w:val="left" w:pos="54"/>
        </w:tabs>
        <w:autoSpaceDE w:val="0"/>
        <w:autoSpaceDN w:val="0"/>
        <w:adjustRightInd w:val="0"/>
        <w:spacing w:line="240" w:lineRule="atLeast"/>
        <w:ind w:left="54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3F0ECA" w:rsidRPr="00D3791A" w:rsidRDefault="003F0ECA" w:rsidP="00B33015">
      <w:pPr>
        <w:tabs>
          <w:tab w:val="left" w:pos="54"/>
        </w:tabs>
        <w:autoSpaceDE w:val="0"/>
        <w:autoSpaceDN w:val="0"/>
        <w:adjustRightInd w:val="0"/>
        <w:spacing w:line="240" w:lineRule="atLeast"/>
        <w:ind w:left="54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AD323D" w:rsidRPr="00D3791A" w:rsidRDefault="00EE624C" w:rsidP="00254366">
      <w:pPr>
        <w:tabs>
          <w:tab w:val="left" w:pos="54"/>
        </w:tabs>
        <w:autoSpaceDE w:val="0"/>
        <w:autoSpaceDN w:val="0"/>
        <w:adjustRightInd w:val="0"/>
        <w:spacing w:line="240" w:lineRule="atLeast"/>
        <w:rPr>
          <w:rFonts w:ascii="Georgia" w:hAnsi="Georgia" w:cs="Tms Rmn"/>
          <w:color w:val="000000"/>
          <w:sz w:val="22"/>
          <w:szCs w:val="22"/>
        </w:rPr>
      </w:pPr>
      <w:r w:rsidRPr="00D3791A">
        <w:rPr>
          <w:rFonts w:ascii="Georgia" w:hAnsi="Georgia" w:cs="Tms Rmn"/>
          <w:color w:val="000000"/>
          <w:sz w:val="22"/>
          <w:szCs w:val="22"/>
        </w:rPr>
        <w:t xml:space="preserve">A los Señores </w:t>
      </w:r>
      <w:r w:rsidR="00BD5F7A">
        <w:rPr>
          <w:rFonts w:ascii="Georgia" w:hAnsi="Georgia" w:cs="Tms Rmn"/>
          <w:color w:val="000000"/>
          <w:sz w:val="22"/>
          <w:szCs w:val="22"/>
        </w:rPr>
        <w:t>Consejo de Administración</w:t>
      </w:r>
      <w:r w:rsidR="00AD323D" w:rsidRPr="00D3791A">
        <w:rPr>
          <w:rFonts w:ascii="Georgia" w:hAnsi="Georgia" w:cs="Tms Rmn"/>
          <w:color w:val="000000"/>
          <w:sz w:val="22"/>
          <w:szCs w:val="22"/>
        </w:rPr>
        <w:t xml:space="preserve"> </w:t>
      </w:r>
    </w:p>
    <w:p w:rsidR="00AD323D" w:rsidRPr="00D3791A" w:rsidRDefault="00BD5F7A" w:rsidP="00254366">
      <w:pPr>
        <w:tabs>
          <w:tab w:val="left" w:pos="54"/>
        </w:tabs>
        <w:autoSpaceDE w:val="0"/>
        <w:autoSpaceDN w:val="0"/>
        <w:adjustRightInd w:val="0"/>
        <w:spacing w:line="240" w:lineRule="atLeast"/>
        <w:rPr>
          <w:rFonts w:ascii="Georgia" w:hAnsi="Georgia" w:cs="Tms Rmn"/>
          <w:b/>
          <w:color w:val="FF0000"/>
          <w:sz w:val="22"/>
          <w:szCs w:val="22"/>
        </w:rPr>
      </w:pPr>
      <w:r>
        <w:rPr>
          <w:rFonts w:ascii="Georgia" w:hAnsi="Georgia" w:cs="Arial"/>
          <w:iCs/>
          <w:sz w:val="22"/>
          <w:szCs w:val="22"/>
          <w:lang w:val="es-UY"/>
        </w:rPr>
        <w:t xml:space="preserve">Fundación </w:t>
      </w:r>
      <w:proofErr w:type="spellStart"/>
      <w:r>
        <w:rPr>
          <w:rFonts w:ascii="Georgia" w:hAnsi="Georgia" w:cs="Arial"/>
          <w:iCs/>
          <w:sz w:val="22"/>
          <w:szCs w:val="22"/>
          <w:lang w:val="es-UY"/>
        </w:rPr>
        <w:t>Bensadoun</w:t>
      </w:r>
      <w:proofErr w:type="spellEnd"/>
      <w:r>
        <w:rPr>
          <w:rFonts w:ascii="Georgia" w:hAnsi="Georgia" w:cs="Arial"/>
          <w:iCs/>
          <w:sz w:val="22"/>
          <w:szCs w:val="22"/>
          <w:lang w:val="es-UY"/>
        </w:rPr>
        <w:t xml:space="preserve"> Laurent</w:t>
      </w:r>
    </w:p>
    <w:p w:rsidR="003F30C6" w:rsidRPr="00D3791A" w:rsidRDefault="003F30C6" w:rsidP="00B33015">
      <w:pPr>
        <w:tabs>
          <w:tab w:val="left" w:pos="54"/>
        </w:tabs>
        <w:autoSpaceDE w:val="0"/>
        <w:autoSpaceDN w:val="0"/>
        <w:adjustRightInd w:val="0"/>
        <w:spacing w:line="240" w:lineRule="atLeast"/>
        <w:ind w:left="54"/>
        <w:rPr>
          <w:rFonts w:ascii="Georgia" w:hAnsi="Georgia" w:cs="Tms Rmn"/>
          <w:color w:val="000000"/>
          <w:sz w:val="22"/>
          <w:szCs w:val="22"/>
        </w:rPr>
      </w:pPr>
    </w:p>
    <w:p w:rsidR="00E0512A" w:rsidRPr="00B246C1" w:rsidRDefault="00AD323D" w:rsidP="00254366">
      <w:pPr>
        <w:pStyle w:val="ListParagraph"/>
        <w:tabs>
          <w:tab w:val="left" w:pos="567"/>
        </w:tabs>
        <w:autoSpaceDE w:val="0"/>
        <w:autoSpaceDN w:val="0"/>
        <w:adjustRightInd w:val="0"/>
        <w:spacing w:line="240" w:lineRule="atLeast"/>
        <w:ind w:left="0"/>
        <w:rPr>
          <w:rFonts w:ascii="Georgia" w:hAnsi="Georgia" w:cs="Arial"/>
          <w:color w:val="000000"/>
          <w:sz w:val="22"/>
          <w:szCs w:val="22"/>
        </w:rPr>
      </w:pPr>
      <w:r w:rsidRPr="00D3791A">
        <w:rPr>
          <w:rFonts w:ascii="Georgia" w:hAnsi="Georgia" w:cs="Tms Rmn"/>
          <w:color w:val="000000"/>
          <w:sz w:val="22"/>
          <w:szCs w:val="22"/>
        </w:rPr>
        <w:t xml:space="preserve">Hemos auditado </w:t>
      </w:r>
      <w:r w:rsidR="00D311BA">
        <w:rPr>
          <w:rFonts w:ascii="Georgia" w:hAnsi="Georgia" w:cs="Tms Rmn"/>
          <w:color w:val="000000"/>
          <w:sz w:val="22"/>
          <w:szCs w:val="22"/>
        </w:rPr>
        <w:t>los estados financieros</w:t>
      </w:r>
      <w:r w:rsidR="00713F0D" w:rsidRPr="00D3791A">
        <w:rPr>
          <w:rFonts w:ascii="Georgia" w:hAnsi="Georgia" w:cs="Tms Rmn"/>
          <w:color w:val="000000"/>
          <w:sz w:val="22"/>
          <w:szCs w:val="22"/>
        </w:rPr>
        <w:t xml:space="preserve"> </w:t>
      </w:r>
      <w:r w:rsidRPr="00D3791A">
        <w:rPr>
          <w:rFonts w:ascii="Georgia" w:hAnsi="Georgia" w:cs="Tms Rmn"/>
          <w:color w:val="000000"/>
          <w:sz w:val="22"/>
          <w:szCs w:val="22"/>
        </w:rPr>
        <w:t>de</w:t>
      </w:r>
      <w:r w:rsidR="00EE624C" w:rsidRPr="00D3791A">
        <w:rPr>
          <w:rFonts w:ascii="Georgia" w:hAnsi="Georgia" w:cs="Tms Rmn"/>
          <w:color w:val="000000"/>
          <w:sz w:val="22"/>
          <w:szCs w:val="22"/>
        </w:rPr>
        <w:t xml:space="preserve">l </w:t>
      </w:r>
      <w:r w:rsidR="00BD5F7A">
        <w:rPr>
          <w:rFonts w:ascii="Georgia" w:hAnsi="Georgia" w:cs="Arial"/>
          <w:iCs/>
          <w:sz w:val="22"/>
          <w:szCs w:val="22"/>
          <w:lang w:val="es-UY"/>
        </w:rPr>
        <w:t xml:space="preserve">Fundación </w:t>
      </w:r>
      <w:proofErr w:type="spellStart"/>
      <w:r w:rsidR="00BD5F7A">
        <w:rPr>
          <w:rFonts w:ascii="Georgia" w:hAnsi="Georgia" w:cs="Arial"/>
          <w:iCs/>
          <w:sz w:val="22"/>
          <w:szCs w:val="22"/>
          <w:lang w:val="es-UY"/>
        </w:rPr>
        <w:t>Bensadoun</w:t>
      </w:r>
      <w:proofErr w:type="spellEnd"/>
      <w:r w:rsidR="00BD5F7A">
        <w:rPr>
          <w:rFonts w:ascii="Georgia" w:hAnsi="Georgia" w:cs="Arial"/>
          <w:iCs/>
          <w:sz w:val="22"/>
          <w:szCs w:val="22"/>
          <w:lang w:val="es-UY"/>
        </w:rPr>
        <w:t xml:space="preserve"> Laurent</w:t>
      </w:r>
      <w:r w:rsidR="00EE624C" w:rsidRPr="00D3791A">
        <w:rPr>
          <w:rFonts w:ascii="Georgia" w:hAnsi="Georgia" w:cs="Arial"/>
          <w:iCs/>
          <w:sz w:val="22"/>
          <w:szCs w:val="22"/>
          <w:lang w:val="es-UY"/>
        </w:rPr>
        <w:t xml:space="preserve"> (</w:t>
      </w:r>
      <w:r w:rsidR="00BD5F7A">
        <w:rPr>
          <w:rFonts w:ascii="Georgia" w:hAnsi="Georgia" w:cs="Arial"/>
          <w:iCs/>
          <w:sz w:val="22"/>
          <w:szCs w:val="22"/>
          <w:lang w:val="es-UY"/>
        </w:rPr>
        <w:t>la Fundación</w:t>
      </w:r>
      <w:r w:rsidR="00EE624C" w:rsidRPr="00D3791A">
        <w:rPr>
          <w:rFonts w:ascii="Georgia" w:hAnsi="Georgia" w:cs="Arial"/>
          <w:iCs/>
          <w:sz w:val="22"/>
          <w:szCs w:val="22"/>
          <w:lang w:val="es-UY"/>
        </w:rPr>
        <w:t>)</w:t>
      </w:r>
      <w:r w:rsidR="00A15E25" w:rsidRPr="00D3791A">
        <w:rPr>
          <w:rFonts w:ascii="Georgia" w:hAnsi="Georgia" w:cs="Tms Rmn"/>
          <w:color w:val="000000"/>
          <w:sz w:val="22"/>
          <w:szCs w:val="22"/>
        </w:rPr>
        <w:t>,</w:t>
      </w:r>
      <w:r w:rsidRPr="00D3791A">
        <w:rPr>
          <w:rFonts w:ascii="Georgia" w:hAnsi="Georgia" w:cs="Tms Rmn"/>
          <w:color w:val="000000"/>
          <w:sz w:val="22"/>
          <w:szCs w:val="22"/>
        </w:rPr>
        <w:t xml:space="preserve"> </w:t>
      </w:r>
      <w:r w:rsidR="00713F0D" w:rsidRPr="00D3791A">
        <w:rPr>
          <w:rFonts w:ascii="Georgia" w:hAnsi="Georgia" w:cs="Tms Rmn"/>
          <w:color w:val="000000"/>
          <w:sz w:val="22"/>
          <w:szCs w:val="22"/>
        </w:rPr>
        <w:t xml:space="preserve">que </w:t>
      </w:r>
      <w:r w:rsidR="00E0512A" w:rsidRPr="00B246C1">
        <w:rPr>
          <w:rFonts w:ascii="Georgia" w:hAnsi="Georgia" w:cs="Arial"/>
          <w:color w:val="000000"/>
          <w:sz w:val="22"/>
          <w:szCs w:val="22"/>
        </w:rPr>
        <w:t>comprenden el estado de situación financiera al 31 de diciembre de 2015 y los correspondientes estados de resultados</w:t>
      </w:r>
      <w:r w:rsidR="00E0512A">
        <w:rPr>
          <w:rFonts w:ascii="Georgia" w:hAnsi="Georgia" w:cs="Arial"/>
          <w:color w:val="000000"/>
          <w:sz w:val="22"/>
          <w:szCs w:val="22"/>
        </w:rPr>
        <w:t xml:space="preserve"> integrales</w:t>
      </w:r>
      <w:r w:rsidR="00E0512A" w:rsidRPr="00B246C1">
        <w:rPr>
          <w:rFonts w:ascii="Georgia" w:hAnsi="Georgia" w:cs="Arial"/>
          <w:color w:val="000000"/>
          <w:sz w:val="22"/>
          <w:szCs w:val="22"/>
        </w:rPr>
        <w:t xml:space="preserve">, de cambios en el patrimonio y de flujos de efectivo por el ejercicio finalizado en esa fecha preparados y presentados en pesos uruguayos, y sus notas que contienen un resumen de las políticas contables significativas aplicadas y otras notas explicativas, los cuales se incluyen adjuntos.  </w:t>
      </w:r>
    </w:p>
    <w:p w:rsidR="00303ADE" w:rsidRPr="00D3791A" w:rsidRDefault="00303ADE" w:rsidP="00B33015">
      <w:pPr>
        <w:tabs>
          <w:tab w:val="left" w:pos="54"/>
        </w:tabs>
        <w:autoSpaceDE w:val="0"/>
        <w:autoSpaceDN w:val="0"/>
        <w:adjustRightInd w:val="0"/>
        <w:spacing w:line="240" w:lineRule="atLeast"/>
        <w:ind w:left="54"/>
        <w:rPr>
          <w:rFonts w:ascii="Georgia" w:hAnsi="Georgia" w:cs="Tms Rmn"/>
          <w:b/>
          <w:color w:val="FF0000"/>
          <w:sz w:val="22"/>
          <w:szCs w:val="22"/>
        </w:rPr>
      </w:pPr>
    </w:p>
    <w:p w:rsidR="00E0512A" w:rsidRPr="00B246C1" w:rsidRDefault="00BD5F7A" w:rsidP="00254366">
      <w:pPr>
        <w:autoSpaceDE w:val="0"/>
        <w:autoSpaceDN w:val="0"/>
        <w:adjustRightInd w:val="0"/>
        <w:spacing w:line="240" w:lineRule="atLeast"/>
        <w:rPr>
          <w:rFonts w:ascii="Georgia" w:hAnsi="Georgia" w:cs="Arial"/>
          <w:b/>
          <w:iCs/>
          <w:color w:val="000000"/>
          <w:sz w:val="22"/>
          <w:szCs w:val="22"/>
          <w:lang w:val="es-ES" w:eastAsia="en-US"/>
        </w:rPr>
      </w:pPr>
      <w:r>
        <w:rPr>
          <w:rFonts w:ascii="Georgia" w:hAnsi="Georgia" w:cs="Arial"/>
          <w:b/>
          <w:iCs/>
          <w:color w:val="000000"/>
          <w:sz w:val="22"/>
          <w:szCs w:val="22"/>
          <w:lang w:val="es-ES" w:eastAsia="en-US"/>
        </w:rPr>
        <w:t xml:space="preserve">Responsabilidad del Comité de Administración </w:t>
      </w:r>
      <w:r w:rsidR="00E0512A" w:rsidRPr="00B246C1">
        <w:rPr>
          <w:rFonts w:ascii="Georgia" w:hAnsi="Georgia" w:cs="Arial"/>
          <w:b/>
          <w:iCs/>
          <w:color w:val="000000"/>
          <w:sz w:val="22"/>
          <w:szCs w:val="22"/>
          <w:lang w:val="es-ES" w:eastAsia="en-US"/>
        </w:rPr>
        <w:t>sobre los estados financieros</w:t>
      </w:r>
    </w:p>
    <w:p w:rsidR="00E0512A" w:rsidRPr="00BD5F7A" w:rsidRDefault="00E0512A" w:rsidP="00E0512A">
      <w:pPr>
        <w:tabs>
          <w:tab w:val="left" w:pos="54"/>
        </w:tabs>
        <w:autoSpaceDE w:val="0"/>
        <w:autoSpaceDN w:val="0"/>
        <w:adjustRightInd w:val="0"/>
        <w:spacing w:line="240" w:lineRule="atLeast"/>
        <w:ind w:left="54"/>
        <w:rPr>
          <w:rFonts w:ascii="Arial" w:hAnsi="Arial" w:cs="Helv"/>
          <w:iCs/>
          <w:color w:val="000000"/>
          <w:sz w:val="20"/>
          <w:szCs w:val="20"/>
          <w:lang w:val="es-ES"/>
        </w:rPr>
      </w:pPr>
    </w:p>
    <w:p w:rsidR="00E0512A" w:rsidRPr="00B246C1" w:rsidRDefault="00BD5F7A" w:rsidP="00E0512A">
      <w:pPr>
        <w:pStyle w:val="ListParagraph"/>
        <w:tabs>
          <w:tab w:val="left" w:pos="567"/>
        </w:tabs>
        <w:autoSpaceDE w:val="0"/>
        <w:autoSpaceDN w:val="0"/>
        <w:adjustRightInd w:val="0"/>
        <w:spacing w:line="240" w:lineRule="atLeast"/>
        <w:ind w:left="0"/>
        <w:rPr>
          <w:rFonts w:ascii="Georgia" w:hAnsi="Georgia" w:cs="Arial"/>
          <w:sz w:val="22"/>
          <w:szCs w:val="22"/>
          <w:lang w:val="es-UY"/>
        </w:rPr>
      </w:pPr>
      <w:r>
        <w:rPr>
          <w:rFonts w:ascii="Georgia" w:hAnsi="Georgia" w:cs="Arial"/>
          <w:sz w:val="22"/>
          <w:szCs w:val="22"/>
          <w:lang w:val="es-UY"/>
        </w:rPr>
        <w:t xml:space="preserve">El Comité de Administración de la Fundación </w:t>
      </w:r>
      <w:r w:rsidR="00E0512A" w:rsidRPr="00B246C1">
        <w:rPr>
          <w:rFonts w:ascii="Georgia" w:hAnsi="Georgia" w:cs="Arial"/>
          <w:sz w:val="22"/>
          <w:szCs w:val="22"/>
          <w:lang w:val="es-UY"/>
        </w:rPr>
        <w:t xml:space="preserve">es responsable de la preparación y presentación razonable de estos estados financieros de acuerdo con las normas contables adecuadas en el Uruguay, y por el mantenimiento de un sistema de control interno que </w:t>
      </w:r>
      <w:r>
        <w:rPr>
          <w:rFonts w:ascii="Georgia" w:hAnsi="Georgia" w:cs="Arial"/>
          <w:sz w:val="22"/>
          <w:szCs w:val="22"/>
          <w:lang w:val="es-UY"/>
        </w:rPr>
        <w:t xml:space="preserve">el Comité </w:t>
      </w:r>
      <w:r w:rsidR="00E0512A" w:rsidRPr="00B246C1">
        <w:rPr>
          <w:rFonts w:ascii="Georgia" w:hAnsi="Georgia" w:cs="Arial"/>
          <w:sz w:val="22"/>
          <w:szCs w:val="22"/>
          <w:lang w:val="es-UY"/>
        </w:rPr>
        <w:t>considera adecuado para permitir la preparación de estados financieros libres de errores significativos, debido, ya sea, a fraude o a equivocaciones.</w:t>
      </w:r>
    </w:p>
    <w:p w:rsidR="00E0512A" w:rsidRPr="00B246C1" w:rsidRDefault="00E0512A" w:rsidP="00E0512A">
      <w:pPr>
        <w:tabs>
          <w:tab w:val="left" w:pos="54"/>
        </w:tabs>
        <w:autoSpaceDE w:val="0"/>
        <w:autoSpaceDN w:val="0"/>
        <w:adjustRightInd w:val="0"/>
        <w:spacing w:line="240" w:lineRule="atLeast"/>
        <w:ind w:left="54"/>
        <w:rPr>
          <w:rFonts w:ascii="Arial" w:hAnsi="Arial" w:cs="Tms Rmn"/>
          <w:color w:val="000000"/>
          <w:sz w:val="20"/>
          <w:szCs w:val="20"/>
          <w:lang w:val="es-UY"/>
        </w:rPr>
      </w:pPr>
    </w:p>
    <w:p w:rsidR="00E0512A" w:rsidRPr="00B246C1" w:rsidRDefault="00E0512A" w:rsidP="00254366">
      <w:pPr>
        <w:autoSpaceDE w:val="0"/>
        <w:autoSpaceDN w:val="0"/>
        <w:adjustRightInd w:val="0"/>
        <w:spacing w:line="240" w:lineRule="atLeast"/>
        <w:rPr>
          <w:rFonts w:ascii="Georgia" w:hAnsi="Georgia" w:cs="Arial"/>
          <w:b/>
          <w:iCs/>
          <w:color w:val="000000"/>
          <w:sz w:val="22"/>
          <w:szCs w:val="22"/>
          <w:lang w:val="es-ES" w:eastAsia="en-US"/>
        </w:rPr>
      </w:pPr>
      <w:r w:rsidRPr="00B246C1">
        <w:rPr>
          <w:rFonts w:ascii="Georgia" w:hAnsi="Georgia" w:cs="Arial"/>
          <w:b/>
          <w:iCs/>
          <w:color w:val="000000"/>
          <w:sz w:val="22"/>
          <w:szCs w:val="22"/>
          <w:lang w:val="es-ES" w:eastAsia="en-US"/>
        </w:rPr>
        <w:t>Responsabilidad del Auditor</w:t>
      </w:r>
    </w:p>
    <w:p w:rsidR="00E0512A" w:rsidRPr="00B246C1" w:rsidRDefault="00E0512A" w:rsidP="00E0512A">
      <w:pPr>
        <w:tabs>
          <w:tab w:val="left" w:pos="54"/>
        </w:tabs>
        <w:autoSpaceDE w:val="0"/>
        <w:autoSpaceDN w:val="0"/>
        <w:adjustRightInd w:val="0"/>
        <w:spacing w:line="240" w:lineRule="atLeast"/>
        <w:ind w:left="54"/>
        <w:rPr>
          <w:rFonts w:ascii="Arial" w:hAnsi="Arial" w:cs="Tms Rmn"/>
          <w:color w:val="000000"/>
          <w:sz w:val="20"/>
          <w:szCs w:val="20"/>
        </w:rPr>
      </w:pPr>
    </w:p>
    <w:p w:rsidR="00E0512A" w:rsidRPr="00B246C1" w:rsidRDefault="00E0512A" w:rsidP="00254366">
      <w:pPr>
        <w:tabs>
          <w:tab w:val="left" w:pos="54"/>
        </w:tabs>
        <w:autoSpaceDE w:val="0"/>
        <w:autoSpaceDN w:val="0"/>
        <w:adjustRightInd w:val="0"/>
        <w:spacing w:line="240" w:lineRule="atLeast"/>
        <w:rPr>
          <w:rFonts w:ascii="Georgia" w:hAnsi="Georgia" w:cs="Arial"/>
          <w:color w:val="000000"/>
          <w:sz w:val="22"/>
          <w:szCs w:val="22"/>
          <w:lang w:val="es-ES" w:eastAsia="en-US"/>
        </w:rPr>
      </w:pPr>
      <w:r w:rsidRPr="00B246C1">
        <w:rPr>
          <w:rFonts w:ascii="Georgia" w:hAnsi="Georgia" w:cs="Arial"/>
          <w:color w:val="000000"/>
          <w:sz w:val="22"/>
          <w:szCs w:val="22"/>
          <w:lang w:val="es-ES" w:eastAsia="en-US"/>
        </w:rPr>
        <w:t>Nuestra responsabilidad es expresar una opinión sobre estos estados financieros con ba</w:t>
      </w:r>
      <w:r>
        <w:rPr>
          <w:rFonts w:ascii="Georgia" w:hAnsi="Georgia" w:cs="Arial"/>
          <w:color w:val="000000"/>
          <w:sz w:val="22"/>
          <w:szCs w:val="22"/>
          <w:lang w:val="es-ES" w:eastAsia="en-US"/>
        </w:rPr>
        <w:t xml:space="preserve">se </w:t>
      </w:r>
      <w:r w:rsidRPr="00B246C1">
        <w:rPr>
          <w:rFonts w:ascii="Georgia" w:hAnsi="Georgia" w:cs="Arial"/>
          <w:color w:val="000000"/>
          <w:sz w:val="22"/>
          <w:szCs w:val="22"/>
          <w:lang w:val="es-ES" w:eastAsia="en-US"/>
        </w:rPr>
        <w:t xml:space="preserve">en nuestra </w:t>
      </w:r>
      <w:r w:rsidR="00EC2EA6">
        <w:rPr>
          <w:rFonts w:ascii="Georgia" w:hAnsi="Georgia" w:cs="Arial"/>
          <w:color w:val="000000"/>
          <w:sz w:val="22"/>
          <w:szCs w:val="22"/>
          <w:lang w:val="es-ES" w:eastAsia="en-US"/>
        </w:rPr>
        <w:t>auditoría</w:t>
      </w:r>
      <w:r w:rsidRPr="00B246C1">
        <w:rPr>
          <w:rFonts w:ascii="Georgia" w:hAnsi="Georgia" w:cs="Arial"/>
          <w:color w:val="000000"/>
          <w:sz w:val="22"/>
          <w:szCs w:val="22"/>
          <w:lang w:val="es-ES" w:eastAsia="en-US"/>
        </w:rPr>
        <w:t xml:space="preserve">. Efectuamos nuestro examen de </w:t>
      </w:r>
      <w:r w:rsidR="00EC2EA6">
        <w:rPr>
          <w:rFonts w:ascii="Georgia" w:hAnsi="Georgia" w:cs="Arial"/>
          <w:color w:val="000000"/>
          <w:sz w:val="22"/>
          <w:szCs w:val="22"/>
          <w:lang w:val="es-ES" w:eastAsia="en-US"/>
        </w:rPr>
        <w:t>auditoría</w:t>
      </w:r>
      <w:r w:rsidRPr="00B246C1">
        <w:rPr>
          <w:rFonts w:ascii="Georgia" w:hAnsi="Georgia" w:cs="Arial"/>
          <w:color w:val="000000"/>
          <w:sz w:val="22"/>
          <w:szCs w:val="22"/>
          <w:lang w:val="es-ES" w:eastAsia="en-US"/>
        </w:rPr>
        <w:t xml:space="preserve"> de acuerdo con Normas internacionales de </w:t>
      </w:r>
      <w:r w:rsidR="00EC2EA6">
        <w:rPr>
          <w:rFonts w:ascii="Georgia" w:hAnsi="Georgia" w:cs="Arial"/>
          <w:color w:val="000000"/>
          <w:sz w:val="22"/>
          <w:szCs w:val="22"/>
          <w:lang w:val="es-ES" w:eastAsia="en-US"/>
        </w:rPr>
        <w:t>auditoría</w:t>
      </w:r>
      <w:r w:rsidRPr="00B246C1">
        <w:rPr>
          <w:rFonts w:ascii="Georgia" w:hAnsi="Georgia" w:cs="Arial"/>
          <w:color w:val="000000"/>
          <w:sz w:val="22"/>
          <w:szCs w:val="22"/>
          <w:lang w:val="es-ES" w:eastAsia="en-US"/>
        </w:rPr>
        <w:t xml:space="preserve">. Estas normas requieren que cumplamos con requisitos éticos y que planifiquemos y realicemos la </w:t>
      </w:r>
      <w:r w:rsidR="00EC2EA6">
        <w:rPr>
          <w:rFonts w:ascii="Georgia" w:hAnsi="Georgia" w:cs="Arial"/>
          <w:color w:val="000000"/>
          <w:sz w:val="22"/>
          <w:szCs w:val="22"/>
          <w:lang w:val="es-ES" w:eastAsia="en-US"/>
        </w:rPr>
        <w:t>auditoría</w:t>
      </w:r>
      <w:r w:rsidRPr="00B246C1">
        <w:rPr>
          <w:rFonts w:ascii="Georgia" w:hAnsi="Georgia" w:cs="Arial"/>
          <w:color w:val="000000"/>
          <w:sz w:val="22"/>
          <w:szCs w:val="22"/>
          <w:lang w:val="es-ES" w:eastAsia="en-US"/>
        </w:rPr>
        <w:t xml:space="preserve"> para obtener una seguridad razonable acerca de si los estados financieros se encuentran libres de errores significativos.</w:t>
      </w:r>
    </w:p>
    <w:p w:rsidR="00E0512A" w:rsidRPr="00B246C1" w:rsidRDefault="00E0512A" w:rsidP="00E0512A">
      <w:pPr>
        <w:tabs>
          <w:tab w:val="left" w:pos="54"/>
        </w:tabs>
        <w:autoSpaceDE w:val="0"/>
        <w:autoSpaceDN w:val="0"/>
        <w:adjustRightInd w:val="0"/>
        <w:spacing w:line="240" w:lineRule="atLeast"/>
        <w:ind w:left="54"/>
        <w:rPr>
          <w:rFonts w:ascii="Georgia" w:hAnsi="Georgia" w:cs="Arial"/>
          <w:color w:val="000000"/>
          <w:sz w:val="22"/>
          <w:szCs w:val="22"/>
          <w:lang w:val="es-ES" w:eastAsia="en-US"/>
        </w:rPr>
      </w:pPr>
    </w:p>
    <w:p w:rsidR="00E0512A" w:rsidRPr="00B246C1" w:rsidRDefault="00E0512A" w:rsidP="00254366">
      <w:pPr>
        <w:tabs>
          <w:tab w:val="left" w:pos="54"/>
        </w:tabs>
        <w:autoSpaceDE w:val="0"/>
        <w:autoSpaceDN w:val="0"/>
        <w:adjustRightInd w:val="0"/>
        <w:spacing w:line="240" w:lineRule="atLeast"/>
        <w:rPr>
          <w:rFonts w:ascii="Georgia" w:hAnsi="Georgia" w:cs="Arial"/>
          <w:color w:val="000000"/>
          <w:sz w:val="22"/>
          <w:szCs w:val="22"/>
          <w:lang w:val="es-ES" w:eastAsia="en-US"/>
        </w:rPr>
      </w:pPr>
      <w:r w:rsidRPr="00B246C1">
        <w:rPr>
          <w:rFonts w:ascii="Georgia" w:hAnsi="Georgia" w:cs="Arial"/>
          <w:color w:val="000000"/>
          <w:sz w:val="22"/>
          <w:szCs w:val="22"/>
          <w:lang w:val="es-ES" w:eastAsia="en-US"/>
        </w:rPr>
        <w:t xml:space="preserve">Una </w:t>
      </w:r>
      <w:r w:rsidR="00EC2EA6">
        <w:rPr>
          <w:rFonts w:ascii="Georgia" w:hAnsi="Georgia" w:cs="Arial"/>
          <w:color w:val="000000"/>
          <w:sz w:val="22"/>
          <w:szCs w:val="22"/>
          <w:lang w:val="es-ES" w:eastAsia="en-US"/>
        </w:rPr>
        <w:t>auditoría</w:t>
      </w:r>
      <w:r w:rsidRPr="00B246C1">
        <w:rPr>
          <w:rFonts w:ascii="Georgia" w:hAnsi="Georgia" w:cs="Arial"/>
          <w:color w:val="000000"/>
          <w:sz w:val="22"/>
          <w:szCs w:val="22"/>
          <w:lang w:val="es-ES" w:eastAsia="en-US"/>
        </w:rPr>
        <w:t xml:space="preserve"> comprende la ejecución de procedimientos para obtener evidencia de </w:t>
      </w:r>
      <w:r w:rsidR="00EC2EA6">
        <w:rPr>
          <w:rFonts w:ascii="Georgia" w:hAnsi="Georgia" w:cs="Arial"/>
          <w:color w:val="000000"/>
          <w:sz w:val="22"/>
          <w:szCs w:val="22"/>
          <w:lang w:val="es-ES" w:eastAsia="en-US"/>
        </w:rPr>
        <w:t>auditoría</w:t>
      </w:r>
      <w:r w:rsidRPr="00B246C1">
        <w:rPr>
          <w:rFonts w:ascii="Georgia" w:hAnsi="Georgia" w:cs="Arial"/>
          <w:color w:val="000000"/>
          <w:sz w:val="22"/>
          <w:szCs w:val="22"/>
          <w:lang w:val="es-ES" w:eastAsia="en-US"/>
        </w:rPr>
        <w:t xml:space="preserve"> sobre las cifras y revelaciones expuestas en los estados financieros. Los procedimientos seleccionados dependen del juicio del auditor incluyendo la evaluación de los riesgos de errores significativos en los estados financieros, debido ya sea a fraude o a equivocaciones. Al realizar dichas evaluaciones de riesgos, el auditor considera el sistema de control interno relevante para la preparación y presentación razonable de los estados financieros de la entidad con la finalidad de diseñar procedimientos de </w:t>
      </w:r>
      <w:r w:rsidR="00EC2EA6">
        <w:rPr>
          <w:rFonts w:ascii="Georgia" w:hAnsi="Georgia" w:cs="Arial"/>
          <w:color w:val="000000"/>
          <w:sz w:val="22"/>
          <w:szCs w:val="22"/>
          <w:lang w:val="es-ES" w:eastAsia="en-US"/>
        </w:rPr>
        <w:t>auditoría</w:t>
      </w:r>
      <w:r w:rsidRPr="00B246C1">
        <w:rPr>
          <w:rFonts w:ascii="Georgia" w:hAnsi="Georgia" w:cs="Arial"/>
          <w:color w:val="000000"/>
          <w:sz w:val="22"/>
          <w:szCs w:val="22"/>
          <w:lang w:val="es-ES" w:eastAsia="en-US"/>
        </w:rPr>
        <w:t xml:space="preserve"> que sean apropiados en las circunstancias, pero no con la finalidad de expresar una opinión sobre la eficacia del control interno de la entidad. Una </w:t>
      </w:r>
      <w:r w:rsidR="00EC2EA6">
        <w:rPr>
          <w:rFonts w:ascii="Georgia" w:hAnsi="Georgia" w:cs="Arial"/>
          <w:color w:val="000000"/>
          <w:sz w:val="22"/>
          <w:szCs w:val="22"/>
          <w:lang w:val="es-ES" w:eastAsia="en-US"/>
        </w:rPr>
        <w:t>auditoría</w:t>
      </w:r>
      <w:r w:rsidRPr="00B246C1">
        <w:rPr>
          <w:rFonts w:ascii="Georgia" w:hAnsi="Georgia" w:cs="Arial"/>
          <w:color w:val="000000"/>
          <w:sz w:val="22"/>
          <w:szCs w:val="22"/>
          <w:lang w:val="es-ES" w:eastAsia="en-US"/>
        </w:rPr>
        <w:t xml:space="preserve"> comprende asimismo la evaluación del grado de adecuación de las políticas contables utilizadas y la razonabilidad de las estimaciones contables realizadas por </w:t>
      </w:r>
      <w:r w:rsidR="00BD5F7A">
        <w:rPr>
          <w:rFonts w:ascii="Georgia" w:hAnsi="Georgia" w:cs="Arial"/>
          <w:color w:val="000000"/>
          <w:sz w:val="22"/>
          <w:szCs w:val="22"/>
          <w:lang w:val="es-ES" w:eastAsia="en-US"/>
        </w:rPr>
        <w:t>el Comité de Administración</w:t>
      </w:r>
      <w:r w:rsidRPr="00B246C1">
        <w:rPr>
          <w:rFonts w:ascii="Georgia" w:hAnsi="Georgia" w:cs="Arial"/>
          <w:color w:val="000000"/>
          <w:sz w:val="22"/>
          <w:szCs w:val="22"/>
          <w:lang w:val="es-ES" w:eastAsia="en-US"/>
        </w:rPr>
        <w:t>, así como la evaluación de la presentación general de los estados financieros.</w:t>
      </w:r>
    </w:p>
    <w:p w:rsidR="00E0512A" w:rsidRPr="00B246C1" w:rsidRDefault="00E0512A" w:rsidP="00E0512A">
      <w:pPr>
        <w:tabs>
          <w:tab w:val="left" w:pos="54"/>
        </w:tabs>
        <w:autoSpaceDE w:val="0"/>
        <w:autoSpaceDN w:val="0"/>
        <w:adjustRightInd w:val="0"/>
        <w:spacing w:line="240" w:lineRule="atLeast"/>
        <w:ind w:left="54"/>
        <w:rPr>
          <w:rFonts w:ascii="Georgia" w:hAnsi="Georgia" w:cs="Arial"/>
          <w:color w:val="000000"/>
          <w:sz w:val="22"/>
          <w:szCs w:val="22"/>
          <w:lang w:val="es-ES" w:eastAsia="en-US"/>
        </w:rPr>
      </w:pPr>
    </w:p>
    <w:p w:rsidR="00E0512A" w:rsidRDefault="00E0512A" w:rsidP="003F0ECA">
      <w:pPr>
        <w:tabs>
          <w:tab w:val="left" w:pos="54"/>
        </w:tabs>
        <w:autoSpaceDE w:val="0"/>
        <w:autoSpaceDN w:val="0"/>
        <w:adjustRightInd w:val="0"/>
        <w:spacing w:line="240" w:lineRule="atLeast"/>
        <w:rPr>
          <w:rFonts w:ascii="Georgia" w:hAnsi="Georgia" w:cs="Arial"/>
          <w:color w:val="000000"/>
          <w:sz w:val="22"/>
          <w:szCs w:val="22"/>
          <w:lang w:val="es-ES" w:eastAsia="en-US"/>
        </w:rPr>
        <w:sectPr w:rsidR="00E0512A" w:rsidSect="007E08DB">
          <w:footerReference w:type="even" r:id="rId7"/>
          <w:pgSz w:w="12240" w:h="15840" w:code="1"/>
          <w:pgMar w:top="1418" w:right="1701" w:bottom="1418" w:left="1701" w:header="709" w:footer="709" w:gutter="0"/>
          <w:cols w:space="708"/>
          <w:docGrid w:linePitch="360"/>
        </w:sectPr>
      </w:pPr>
      <w:r w:rsidRPr="00B246C1">
        <w:rPr>
          <w:rFonts w:ascii="Georgia" w:hAnsi="Georgia" w:cs="Arial"/>
          <w:color w:val="000000"/>
          <w:sz w:val="22"/>
          <w:szCs w:val="22"/>
          <w:lang w:val="es-ES" w:eastAsia="en-US"/>
        </w:rPr>
        <w:t xml:space="preserve">Consideramos que la evidencia de </w:t>
      </w:r>
      <w:r w:rsidR="00EC2EA6">
        <w:rPr>
          <w:rFonts w:ascii="Georgia" w:hAnsi="Georgia" w:cs="Arial"/>
          <w:color w:val="000000"/>
          <w:sz w:val="22"/>
          <w:szCs w:val="22"/>
          <w:lang w:val="es-ES" w:eastAsia="en-US"/>
        </w:rPr>
        <w:t>auditoría</w:t>
      </w:r>
      <w:r w:rsidRPr="00B246C1">
        <w:rPr>
          <w:rFonts w:ascii="Georgia" w:hAnsi="Georgia" w:cs="Arial"/>
          <w:color w:val="000000"/>
          <w:sz w:val="22"/>
          <w:szCs w:val="22"/>
          <w:lang w:val="es-ES" w:eastAsia="en-US"/>
        </w:rPr>
        <w:t xml:space="preserve"> que hemos obtenido es suficiente y apropiada para sustentar nuestra opinión de auditoría.</w:t>
      </w:r>
      <w:r w:rsidRPr="00B246C1">
        <w:rPr>
          <w:rFonts w:ascii="Georgia" w:hAnsi="Georgia" w:cs="Arial"/>
          <w:color w:val="000000"/>
          <w:sz w:val="22"/>
          <w:szCs w:val="22"/>
          <w:lang w:val="es-ES" w:eastAsia="en-US"/>
        </w:rPr>
        <w:br w:type="page"/>
      </w:r>
    </w:p>
    <w:p w:rsidR="00303ADE" w:rsidRPr="00E0512A" w:rsidRDefault="00303ADE" w:rsidP="00B33015">
      <w:pPr>
        <w:tabs>
          <w:tab w:val="left" w:pos="54"/>
        </w:tabs>
        <w:autoSpaceDE w:val="0"/>
        <w:autoSpaceDN w:val="0"/>
        <w:adjustRightInd w:val="0"/>
        <w:spacing w:line="240" w:lineRule="atLeast"/>
        <w:ind w:left="54"/>
        <w:rPr>
          <w:rFonts w:ascii="Georgia" w:hAnsi="Georgia" w:cs="Tms Rmn"/>
          <w:color w:val="000000"/>
          <w:sz w:val="22"/>
          <w:szCs w:val="22"/>
          <w:lang w:val="es-ES"/>
        </w:rPr>
      </w:pPr>
    </w:p>
    <w:p w:rsidR="00E0512A" w:rsidRPr="00B246C1" w:rsidRDefault="00E0512A" w:rsidP="00254366">
      <w:pPr>
        <w:tabs>
          <w:tab w:val="left" w:pos="54"/>
        </w:tabs>
        <w:autoSpaceDE w:val="0"/>
        <w:autoSpaceDN w:val="0"/>
        <w:adjustRightInd w:val="0"/>
        <w:spacing w:line="240" w:lineRule="atLeast"/>
        <w:ind w:right="901"/>
        <w:rPr>
          <w:rFonts w:ascii="Georgia" w:hAnsi="Georgia" w:cs="Arial"/>
          <w:b/>
          <w:iCs/>
          <w:color w:val="000000"/>
          <w:sz w:val="22"/>
          <w:szCs w:val="22"/>
          <w:lang w:val="es-ES" w:eastAsia="en-US"/>
        </w:rPr>
      </w:pPr>
      <w:r w:rsidRPr="00B246C1">
        <w:rPr>
          <w:rFonts w:ascii="Georgia" w:hAnsi="Georgia" w:cs="Arial"/>
          <w:b/>
          <w:iCs/>
          <w:color w:val="000000"/>
          <w:sz w:val="22"/>
          <w:szCs w:val="22"/>
          <w:lang w:val="es-ES" w:eastAsia="en-US"/>
        </w:rPr>
        <w:t>Opinión</w:t>
      </w:r>
    </w:p>
    <w:p w:rsidR="00E0512A" w:rsidRPr="00B246C1" w:rsidRDefault="00E0512A" w:rsidP="00254366">
      <w:pPr>
        <w:tabs>
          <w:tab w:val="left" w:pos="54"/>
        </w:tabs>
        <w:autoSpaceDE w:val="0"/>
        <w:autoSpaceDN w:val="0"/>
        <w:adjustRightInd w:val="0"/>
        <w:spacing w:line="240" w:lineRule="atLeast"/>
        <w:ind w:left="54" w:right="901"/>
        <w:rPr>
          <w:rFonts w:ascii="Arial" w:hAnsi="Arial" w:cs="Tms Rmn"/>
          <w:color w:val="000000"/>
          <w:sz w:val="20"/>
          <w:szCs w:val="20"/>
        </w:rPr>
      </w:pPr>
    </w:p>
    <w:p w:rsidR="00E0512A" w:rsidRPr="00B246C1" w:rsidRDefault="00E0512A" w:rsidP="00254366">
      <w:pPr>
        <w:pStyle w:val="ListParagraph"/>
        <w:tabs>
          <w:tab w:val="left" w:pos="567"/>
        </w:tabs>
        <w:autoSpaceDE w:val="0"/>
        <w:autoSpaceDN w:val="0"/>
        <w:adjustRightInd w:val="0"/>
        <w:spacing w:line="240" w:lineRule="atLeast"/>
        <w:ind w:left="0" w:right="901"/>
        <w:rPr>
          <w:rFonts w:ascii="Georgia" w:hAnsi="Georgia" w:cs="Arial"/>
          <w:color w:val="000000"/>
          <w:sz w:val="22"/>
          <w:szCs w:val="22"/>
        </w:rPr>
      </w:pPr>
      <w:r w:rsidRPr="00B246C1">
        <w:rPr>
          <w:rFonts w:ascii="Georgia" w:hAnsi="Georgia" w:cs="Arial"/>
          <w:color w:val="000000"/>
          <w:sz w:val="22"/>
          <w:szCs w:val="22"/>
        </w:rPr>
        <w:t>En nuestra opinión, los referidos estados financieros preparados y presentados en pesos uruguayos presentan razonablemente, en todos sus aspectos significativos, la posición financiera de</w:t>
      </w:r>
      <w:r w:rsidR="00BD5F7A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FB53C0">
        <w:rPr>
          <w:rFonts w:ascii="Georgia" w:hAnsi="Georgia" w:cs="Arial"/>
          <w:color w:val="000000"/>
          <w:sz w:val="22"/>
          <w:szCs w:val="22"/>
        </w:rPr>
        <w:t>l</w:t>
      </w:r>
      <w:r w:rsidR="00BD5F7A">
        <w:rPr>
          <w:rFonts w:ascii="Georgia" w:hAnsi="Georgia" w:cs="Arial"/>
          <w:color w:val="000000"/>
          <w:sz w:val="22"/>
          <w:szCs w:val="22"/>
        </w:rPr>
        <w:t>a</w:t>
      </w:r>
      <w:r w:rsidR="00FB53C0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BD5F7A">
        <w:rPr>
          <w:rFonts w:ascii="Georgia" w:hAnsi="Georgia" w:cs="Arial"/>
          <w:color w:val="000000"/>
          <w:sz w:val="22"/>
          <w:szCs w:val="22"/>
        </w:rPr>
        <w:t xml:space="preserve">Fundación </w:t>
      </w:r>
      <w:proofErr w:type="spellStart"/>
      <w:r w:rsidR="00BD5F7A">
        <w:rPr>
          <w:rFonts w:ascii="Georgia" w:hAnsi="Georgia" w:cs="Arial"/>
          <w:color w:val="000000"/>
          <w:sz w:val="22"/>
          <w:szCs w:val="22"/>
        </w:rPr>
        <w:t>Bensadoun</w:t>
      </w:r>
      <w:proofErr w:type="spellEnd"/>
      <w:r w:rsidR="00BD5F7A">
        <w:rPr>
          <w:rFonts w:ascii="Georgia" w:hAnsi="Georgia" w:cs="Arial"/>
          <w:color w:val="000000"/>
          <w:sz w:val="22"/>
          <w:szCs w:val="22"/>
        </w:rPr>
        <w:t xml:space="preserve"> Laurent</w:t>
      </w:r>
      <w:r w:rsidRPr="00B246C1">
        <w:rPr>
          <w:rFonts w:ascii="Georgia" w:hAnsi="Georgia" w:cs="Arial"/>
          <w:color w:val="000000"/>
          <w:sz w:val="22"/>
          <w:szCs w:val="22"/>
        </w:rPr>
        <w:t xml:space="preserve"> al 31 de diciembre de 2015, los resultados de sus operaciones y los flujos de efectivo por el ejercicio finalizado en esa fecha de acuerdo con normas contables adecuadas en el Uruguay.</w:t>
      </w:r>
    </w:p>
    <w:p w:rsidR="00E0512A" w:rsidRPr="00E0512A" w:rsidRDefault="00E0512A" w:rsidP="00254366">
      <w:pPr>
        <w:tabs>
          <w:tab w:val="left" w:pos="54"/>
        </w:tabs>
        <w:autoSpaceDE w:val="0"/>
        <w:autoSpaceDN w:val="0"/>
        <w:adjustRightInd w:val="0"/>
        <w:spacing w:line="240" w:lineRule="atLeast"/>
        <w:ind w:left="54" w:right="901"/>
        <w:rPr>
          <w:rFonts w:ascii="Georgia" w:hAnsi="Georgia" w:cs="Tms Rmn"/>
          <w:color w:val="000000"/>
          <w:sz w:val="22"/>
          <w:szCs w:val="22"/>
          <w:lang w:val="es-ES"/>
        </w:rPr>
      </w:pPr>
    </w:p>
    <w:p w:rsidR="008228F6" w:rsidRPr="00D3791A" w:rsidRDefault="008228F6" w:rsidP="00254366">
      <w:pPr>
        <w:tabs>
          <w:tab w:val="left" w:pos="54"/>
        </w:tabs>
        <w:autoSpaceDE w:val="0"/>
        <w:autoSpaceDN w:val="0"/>
        <w:adjustRightInd w:val="0"/>
        <w:ind w:right="901"/>
        <w:rPr>
          <w:rFonts w:ascii="Georgia" w:hAnsi="Georgia" w:cs="Tms Rmn"/>
          <w:color w:val="000000"/>
          <w:sz w:val="22"/>
          <w:szCs w:val="22"/>
          <w:highlight w:val="yellow"/>
        </w:rPr>
      </w:pPr>
    </w:p>
    <w:p w:rsidR="00AD323D" w:rsidRPr="00B9671B" w:rsidRDefault="00AD323D" w:rsidP="00254366">
      <w:pPr>
        <w:tabs>
          <w:tab w:val="left" w:pos="54"/>
        </w:tabs>
        <w:autoSpaceDE w:val="0"/>
        <w:autoSpaceDN w:val="0"/>
        <w:adjustRightInd w:val="0"/>
        <w:spacing w:line="240" w:lineRule="atLeast"/>
        <w:ind w:right="901"/>
        <w:rPr>
          <w:rFonts w:ascii="Georgia" w:hAnsi="Georgia" w:cs="Tms Rmn"/>
          <w:color w:val="000000"/>
          <w:sz w:val="22"/>
          <w:szCs w:val="22"/>
        </w:rPr>
      </w:pPr>
      <w:r w:rsidRPr="00B9671B">
        <w:rPr>
          <w:rFonts w:ascii="Georgia" w:hAnsi="Georgia" w:cs="Tms Rmn"/>
          <w:color w:val="000000"/>
          <w:sz w:val="22"/>
          <w:szCs w:val="22"/>
        </w:rPr>
        <w:t>Montevideo, Uruguay</w:t>
      </w:r>
    </w:p>
    <w:p w:rsidR="00AD323D" w:rsidRPr="00B33015" w:rsidRDefault="00BD5F7A" w:rsidP="00254366">
      <w:pPr>
        <w:tabs>
          <w:tab w:val="left" w:pos="54"/>
        </w:tabs>
        <w:autoSpaceDE w:val="0"/>
        <w:autoSpaceDN w:val="0"/>
        <w:adjustRightInd w:val="0"/>
        <w:spacing w:line="240" w:lineRule="atLeast"/>
        <w:ind w:right="901"/>
        <w:rPr>
          <w:rFonts w:ascii="Georgia" w:hAnsi="Georgia" w:cs="Tms Rmn"/>
          <w:color w:val="000000"/>
          <w:sz w:val="22"/>
          <w:szCs w:val="22"/>
        </w:rPr>
      </w:pPr>
      <w:r w:rsidRPr="00B9671B">
        <w:rPr>
          <w:rFonts w:ascii="Georgia" w:hAnsi="Georgia" w:cs="Tms Rmn"/>
          <w:color w:val="000000"/>
          <w:sz w:val="22"/>
          <w:szCs w:val="22"/>
        </w:rPr>
        <w:t>2</w:t>
      </w:r>
      <w:r w:rsidR="00B9671B" w:rsidRPr="00B9671B">
        <w:rPr>
          <w:rFonts w:ascii="Georgia" w:hAnsi="Georgia" w:cs="Tms Rmn"/>
          <w:color w:val="000000"/>
          <w:sz w:val="22"/>
          <w:szCs w:val="22"/>
        </w:rPr>
        <w:t>6</w:t>
      </w:r>
      <w:r w:rsidR="00E0512A" w:rsidRPr="00B9671B">
        <w:rPr>
          <w:rFonts w:ascii="Georgia" w:hAnsi="Georgia" w:cs="Tms Rmn"/>
          <w:color w:val="000000"/>
          <w:sz w:val="22"/>
          <w:szCs w:val="22"/>
        </w:rPr>
        <w:t xml:space="preserve"> de </w:t>
      </w:r>
      <w:r w:rsidRPr="00B9671B">
        <w:rPr>
          <w:rFonts w:ascii="Georgia" w:hAnsi="Georgia" w:cs="Tms Rmn"/>
          <w:color w:val="000000"/>
          <w:sz w:val="22"/>
          <w:szCs w:val="22"/>
        </w:rPr>
        <w:t>setiembre</w:t>
      </w:r>
      <w:r w:rsidR="00FB53C0" w:rsidRPr="00B9671B">
        <w:rPr>
          <w:rFonts w:ascii="Georgia" w:hAnsi="Georgia" w:cs="Tms Rmn"/>
          <w:color w:val="000000"/>
          <w:sz w:val="22"/>
          <w:szCs w:val="22"/>
        </w:rPr>
        <w:t xml:space="preserve"> </w:t>
      </w:r>
      <w:r w:rsidR="00E0512A" w:rsidRPr="00B9671B">
        <w:rPr>
          <w:rFonts w:ascii="Georgia" w:hAnsi="Georgia" w:cs="Tms Rmn"/>
          <w:color w:val="000000"/>
          <w:sz w:val="22"/>
          <w:szCs w:val="22"/>
        </w:rPr>
        <w:t>de 2016</w:t>
      </w:r>
    </w:p>
    <w:p w:rsidR="00AD323D" w:rsidRPr="00B33015" w:rsidRDefault="00AD323D" w:rsidP="00B33015">
      <w:pPr>
        <w:tabs>
          <w:tab w:val="left" w:pos="54"/>
        </w:tabs>
        <w:autoSpaceDE w:val="0"/>
        <w:autoSpaceDN w:val="0"/>
        <w:adjustRightInd w:val="0"/>
        <w:spacing w:line="240" w:lineRule="atLeast"/>
        <w:ind w:left="54"/>
        <w:rPr>
          <w:rFonts w:ascii="Georgia" w:hAnsi="Georgia" w:cs="Tms Rmn"/>
          <w:color w:val="000000"/>
          <w:sz w:val="22"/>
          <w:szCs w:val="22"/>
        </w:rPr>
      </w:pPr>
    </w:p>
    <w:p w:rsidR="00AD323D" w:rsidRPr="00B33015" w:rsidRDefault="00AD323D" w:rsidP="00B33015">
      <w:pPr>
        <w:tabs>
          <w:tab w:val="left" w:pos="54"/>
        </w:tabs>
        <w:autoSpaceDE w:val="0"/>
        <w:autoSpaceDN w:val="0"/>
        <w:adjustRightInd w:val="0"/>
        <w:spacing w:line="240" w:lineRule="atLeast"/>
        <w:ind w:left="54"/>
        <w:rPr>
          <w:rFonts w:ascii="Georgia" w:hAnsi="Georgia" w:cs="Tms Rmn"/>
          <w:color w:val="000000"/>
          <w:sz w:val="22"/>
          <w:szCs w:val="22"/>
        </w:rPr>
      </w:pPr>
    </w:p>
    <w:p w:rsidR="00AD323D" w:rsidRPr="00B33015" w:rsidRDefault="00AD323D" w:rsidP="00B33015">
      <w:pPr>
        <w:tabs>
          <w:tab w:val="left" w:pos="54"/>
        </w:tabs>
        <w:autoSpaceDE w:val="0"/>
        <w:autoSpaceDN w:val="0"/>
        <w:adjustRightInd w:val="0"/>
        <w:spacing w:line="240" w:lineRule="atLeast"/>
        <w:ind w:left="54"/>
        <w:rPr>
          <w:rFonts w:ascii="Georgia" w:hAnsi="Georgia" w:cs="Tms Rmn"/>
          <w:color w:val="000000"/>
          <w:sz w:val="22"/>
          <w:szCs w:val="22"/>
        </w:rPr>
      </w:pPr>
    </w:p>
    <w:p w:rsidR="00AD323D" w:rsidRPr="00B33015" w:rsidRDefault="00AD323D" w:rsidP="00B33015">
      <w:pPr>
        <w:tabs>
          <w:tab w:val="left" w:pos="54"/>
        </w:tabs>
        <w:autoSpaceDE w:val="0"/>
        <w:autoSpaceDN w:val="0"/>
        <w:adjustRightInd w:val="0"/>
        <w:spacing w:line="240" w:lineRule="atLeast"/>
        <w:ind w:left="54"/>
        <w:rPr>
          <w:rFonts w:ascii="Georgia" w:hAnsi="Georgia" w:cs="Tms Rmn"/>
          <w:color w:val="000000"/>
          <w:sz w:val="22"/>
          <w:szCs w:val="22"/>
        </w:rPr>
      </w:pPr>
    </w:p>
    <w:p w:rsidR="00AD323D" w:rsidRPr="00B33015" w:rsidRDefault="00AD323D" w:rsidP="00B33015">
      <w:pPr>
        <w:tabs>
          <w:tab w:val="left" w:pos="54"/>
        </w:tabs>
        <w:autoSpaceDE w:val="0"/>
        <w:autoSpaceDN w:val="0"/>
        <w:adjustRightInd w:val="0"/>
        <w:spacing w:line="240" w:lineRule="atLeast"/>
        <w:ind w:left="54"/>
        <w:rPr>
          <w:rFonts w:ascii="Georgia" w:hAnsi="Georgia" w:cs="Tms Rmn"/>
          <w:color w:val="000000"/>
          <w:sz w:val="22"/>
          <w:szCs w:val="22"/>
        </w:rPr>
      </w:pPr>
    </w:p>
    <w:p w:rsidR="00AD323D" w:rsidRPr="00B33015" w:rsidRDefault="00AD323D" w:rsidP="00B33015">
      <w:pPr>
        <w:tabs>
          <w:tab w:val="left" w:pos="54"/>
        </w:tabs>
        <w:autoSpaceDE w:val="0"/>
        <w:autoSpaceDN w:val="0"/>
        <w:adjustRightInd w:val="0"/>
        <w:spacing w:line="240" w:lineRule="atLeast"/>
        <w:ind w:left="54"/>
        <w:rPr>
          <w:rFonts w:ascii="Georgia" w:hAnsi="Georgia" w:cs="Tms Rmn"/>
          <w:color w:val="000000"/>
          <w:sz w:val="22"/>
          <w:szCs w:val="22"/>
        </w:rPr>
      </w:pPr>
      <w:bookmarkStart w:id="0" w:name="_GoBack"/>
      <w:bookmarkEnd w:id="0"/>
    </w:p>
    <w:p w:rsidR="004C5799" w:rsidRPr="00B33015" w:rsidRDefault="004C5799" w:rsidP="00B33015">
      <w:pPr>
        <w:tabs>
          <w:tab w:val="left" w:pos="54"/>
        </w:tabs>
        <w:autoSpaceDE w:val="0"/>
        <w:autoSpaceDN w:val="0"/>
        <w:adjustRightInd w:val="0"/>
        <w:spacing w:line="240" w:lineRule="atLeast"/>
        <w:ind w:left="720"/>
        <w:rPr>
          <w:rFonts w:ascii="Georgia" w:hAnsi="Georgia" w:cs="Tms Rmn"/>
          <w:color w:val="000000"/>
          <w:sz w:val="22"/>
          <w:szCs w:val="22"/>
        </w:rPr>
      </w:pPr>
    </w:p>
    <w:sectPr w:rsidR="004C5799" w:rsidRPr="00B33015" w:rsidSect="00254366">
      <w:headerReference w:type="even" r:id="rId8"/>
      <w:headerReference w:type="default" r:id="rId9"/>
      <w:footerReference w:type="default" r:id="rId10"/>
      <w:headerReference w:type="first" r:id="rId11"/>
      <w:pgSz w:w="12242" w:h="15842" w:code="1"/>
      <w:pgMar w:top="2835" w:right="851" w:bottom="1701" w:left="1701" w:header="90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BBD" w:rsidRDefault="00E82BBD" w:rsidP="00B33015">
      <w:r>
        <w:separator/>
      </w:r>
    </w:p>
  </w:endnote>
  <w:endnote w:type="continuationSeparator" w:id="0">
    <w:p w:rsidR="00E82BBD" w:rsidRDefault="00E82BBD" w:rsidP="00B3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12A" w:rsidRDefault="00E0512A">
    <w:pPr>
      <w:pStyle w:val="Footer"/>
    </w:pPr>
  </w:p>
  <w:p w:rsidR="00E0512A" w:rsidRDefault="00E0512A" w:rsidP="008111E6">
    <w:pPr>
      <w:pStyle w:val="DSLxSty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196" w:rsidRDefault="00A46196" w:rsidP="0010668E">
    <w:pPr>
      <w:pStyle w:val="PwCAddress"/>
      <w:spacing w:line="240" w:lineRule="auto"/>
      <w:ind w:right="424"/>
      <w:jc w:val="right"/>
      <w:rPr>
        <w:rFonts w:cs="Arial"/>
        <w:i w:val="0"/>
        <w:color w:val="000000"/>
        <w:szCs w:val="18"/>
        <w:lang w:val="es-UY"/>
      </w:rPr>
    </w:pPr>
    <w:r w:rsidRPr="00E732E2">
      <w:rPr>
        <w:rFonts w:cs="Arial"/>
        <w:i w:val="0"/>
        <w:color w:val="000000"/>
        <w:szCs w:val="18"/>
        <w:lang w:val="es-UY"/>
      </w:rPr>
      <w:t>2</w:t>
    </w:r>
  </w:p>
  <w:p w:rsidR="00E31A2A" w:rsidRPr="00E732E2" w:rsidRDefault="00E31A2A" w:rsidP="00E31A2A">
    <w:pPr>
      <w:pStyle w:val="DSLxStyle"/>
      <w:rPr>
        <w:lang w:val="es-U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BBD" w:rsidRDefault="00E82BBD" w:rsidP="00B33015">
      <w:r>
        <w:separator/>
      </w:r>
    </w:p>
  </w:footnote>
  <w:footnote w:type="continuationSeparator" w:id="0">
    <w:p w:rsidR="00E82BBD" w:rsidRDefault="00E82BBD" w:rsidP="00B33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12C" w:rsidRDefault="007601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12C" w:rsidRDefault="007601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12C" w:rsidRDefault="007601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C5DF8"/>
    <w:multiLevelType w:val="hybridMultilevel"/>
    <w:tmpl w:val="5914C65A"/>
    <w:lvl w:ilvl="0" w:tplc="2C24EF88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134" w:hanging="360"/>
      </w:pPr>
    </w:lvl>
    <w:lvl w:ilvl="2" w:tplc="380A001B" w:tentative="1">
      <w:start w:val="1"/>
      <w:numFmt w:val="lowerRoman"/>
      <w:lvlText w:val="%3."/>
      <w:lvlJc w:val="right"/>
      <w:pPr>
        <w:ind w:left="1854" w:hanging="180"/>
      </w:pPr>
    </w:lvl>
    <w:lvl w:ilvl="3" w:tplc="380A000F" w:tentative="1">
      <w:start w:val="1"/>
      <w:numFmt w:val="decimal"/>
      <w:lvlText w:val="%4."/>
      <w:lvlJc w:val="left"/>
      <w:pPr>
        <w:ind w:left="2574" w:hanging="360"/>
      </w:pPr>
    </w:lvl>
    <w:lvl w:ilvl="4" w:tplc="380A0019" w:tentative="1">
      <w:start w:val="1"/>
      <w:numFmt w:val="lowerLetter"/>
      <w:lvlText w:val="%5."/>
      <w:lvlJc w:val="left"/>
      <w:pPr>
        <w:ind w:left="3294" w:hanging="360"/>
      </w:pPr>
    </w:lvl>
    <w:lvl w:ilvl="5" w:tplc="380A001B" w:tentative="1">
      <w:start w:val="1"/>
      <w:numFmt w:val="lowerRoman"/>
      <w:lvlText w:val="%6."/>
      <w:lvlJc w:val="right"/>
      <w:pPr>
        <w:ind w:left="4014" w:hanging="180"/>
      </w:pPr>
    </w:lvl>
    <w:lvl w:ilvl="6" w:tplc="380A000F" w:tentative="1">
      <w:start w:val="1"/>
      <w:numFmt w:val="decimal"/>
      <w:lvlText w:val="%7."/>
      <w:lvlJc w:val="left"/>
      <w:pPr>
        <w:ind w:left="4734" w:hanging="360"/>
      </w:pPr>
    </w:lvl>
    <w:lvl w:ilvl="7" w:tplc="380A0019" w:tentative="1">
      <w:start w:val="1"/>
      <w:numFmt w:val="lowerLetter"/>
      <w:lvlText w:val="%8."/>
      <w:lvlJc w:val="left"/>
      <w:pPr>
        <w:ind w:left="5454" w:hanging="360"/>
      </w:pPr>
    </w:lvl>
    <w:lvl w:ilvl="8" w:tplc="380A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" w15:restartNumberingAfterBreak="0">
    <w:nsid w:val="4CDA1CE9"/>
    <w:multiLevelType w:val="hybridMultilevel"/>
    <w:tmpl w:val="9C16A34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A711A"/>
    <w:multiLevelType w:val="singleLevel"/>
    <w:tmpl w:val="89B674A6"/>
    <w:lvl w:ilvl="0">
      <w:start w:val="22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23D"/>
    <w:rsid w:val="00020708"/>
    <w:rsid w:val="00052D10"/>
    <w:rsid w:val="000B078B"/>
    <w:rsid w:val="000B5895"/>
    <w:rsid w:val="000C10D0"/>
    <w:rsid w:val="000C75AF"/>
    <w:rsid w:val="000D771D"/>
    <w:rsid w:val="0010668E"/>
    <w:rsid w:val="00184DBB"/>
    <w:rsid w:val="001B24C2"/>
    <w:rsid w:val="001B46E8"/>
    <w:rsid w:val="001F4DB8"/>
    <w:rsid w:val="00254366"/>
    <w:rsid w:val="0025693F"/>
    <w:rsid w:val="00257E65"/>
    <w:rsid w:val="00267AE4"/>
    <w:rsid w:val="00270CFE"/>
    <w:rsid w:val="002F7687"/>
    <w:rsid w:val="00303ADE"/>
    <w:rsid w:val="003B08C3"/>
    <w:rsid w:val="003D1469"/>
    <w:rsid w:val="003F0ECA"/>
    <w:rsid w:val="003F30C6"/>
    <w:rsid w:val="00401115"/>
    <w:rsid w:val="00417C94"/>
    <w:rsid w:val="00433B43"/>
    <w:rsid w:val="004349B2"/>
    <w:rsid w:val="00442355"/>
    <w:rsid w:val="004C5799"/>
    <w:rsid w:val="00512EAD"/>
    <w:rsid w:val="005448E8"/>
    <w:rsid w:val="00575D20"/>
    <w:rsid w:val="00590F90"/>
    <w:rsid w:val="00593F2B"/>
    <w:rsid w:val="005B2120"/>
    <w:rsid w:val="005B2E03"/>
    <w:rsid w:val="006011D4"/>
    <w:rsid w:val="006578BB"/>
    <w:rsid w:val="006A4103"/>
    <w:rsid w:val="00705E28"/>
    <w:rsid w:val="00713F0D"/>
    <w:rsid w:val="00742628"/>
    <w:rsid w:val="0076012C"/>
    <w:rsid w:val="00777A22"/>
    <w:rsid w:val="007B1893"/>
    <w:rsid w:val="007B3666"/>
    <w:rsid w:val="007E08DB"/>
    <w:rsid w:val="007F557A"/>
    <w:rsid w:val="00802FA1"/>
    <w:rsid w:val="008228F6"/>
    <w:rsid w:val="0087692C"/>
    <w:rsid w:val="008C0EE5"/>
    <w:rsid w:val="008E4AD8"/>
    <w:rsid w:val="00962DE5"/>
    <w:rsid w:val="009D53FC"/>
    <w:rsid w:val="009F712E"/>
    <w:rsid w:val="00A15E25"/>
    <w:rsid w:val="00A46196"/>
    <w:rsid w:val="00AC722A"/>
    <w:rsid w:val="00AD323D"/>
    <w:rsid w:val="00AE6814"/>
    <w:rsid w:val="00B12E41"/>
    <w:rsid w:val="00B33015"/>
    <w:rsid w:val="00B40B4A"/>
    <w:rsid w:val="00B9671B"/>
    <w:rsid w:val="00BA438B"/>
    <w:rsid w:val="00BD3EC0"/>
    <w:rsid w:val="00BD5F7A"/>
    <w:rsid w:val="00BE272B"/>
    <w:rsid w:val="00C354D6"/>
    <w:rsid w:val="00CE7EED"/>
    <w:rsid w:val="00CF2676"/>
    <w:rsid w:val="00D311BA"/>
    <w:rsid w:val="00D3791A"/>
    <w:rsid w:val="00D55FB5"/>
    <w:rsid w:val="00DA51C1"/>
    <w:rsid w:val="00DE0903"/>
    <w:rsid w:val="00DF6BF5"/>
    <w:rsid w:val="00E0512A"/>
    <w:rsid w:val="00E31A2A"/>
    <w:rsid w:val="00E32CF1"/>
    <w:rsid w:val="00E732E2"/>
    <w:rsid w:val="00E82BBD"/>
    <w:rsid w:val="00EB43AF"/>
    <w:rsid w:val="00EC2EA6"/>
    <w:rsid w:val="00EE624C"/>
    <w:rsid w:val="00EF2D35"/>
    <w:rsid w:val="00F4422E"/>
    <w:rsid w:val="00F7189D"/>
    <w:rsid w:val="00F829CB"/>
    <w:rsid w:val="00FA42E4"/>
    <w:rsid w:val="00FB53C0"/>
    <w:rsid w:val="00FC5A12"/>
    <w:rsid w:val="00FD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2B5A99B7-C9FE-4072-B005-27580F80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676"/>
    <w:rPr>
      <w:sz w:val="24"/>
      <w:szCs w:val="24"/>
      <w:lang w:val="es-AR" w:eastAsia="es-AR"/>
    </w:rPr>
  </w:style>
  <w:style w:type="paragraph" w:styleId="Heading2">
    <w:name w:val="heading 2"/>
    <w:basedOn w:val="Normal"/>
    <w:next w:val="Normal"/>
    <w:link w:val="Heading2Char"/>
    <w:qFormat/>
    <w:rsid w:val="001B24C2"/>
    <w:pPr>
      <w:keepNext/>
      <w:tabs>
        <w:tab w:val="left" w:pos="0"/>
      </w:tabs>
      <w:spacing w:line="240" w:lineRule="atLeast"/>
      <w:ind w:right="22"/>
      <w:jc w:val="both"/>
      <w:outlineLvl w:val="1"/>
    </w:pPr>
    <w:rPr>
      <w:b/>
      <w:bCs/>
      <w:snapToGrid w:val="0"/>
      <w:color w:val="000000"/>
      <w:szCs w:val="20"/>
      <w:lang w:val="es-UY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13F0D"/>
    <w:pPr>
      <w:tabs>
        <w:tab w:val="left" w:pos="0"/>
        <w:tab w:val="left" w:pos="216"/>
      </w:tabs>
      <w:autoSpaceDE w:val="0"/>
      <w:autoSpaceDN w:val="0"/>
      <w:adjustRightInd w:val="0"/>
      <w:spacing w:before="120" w:line="240" w:lineRule="atLeast"/>
      <w:ind w:left="708"/>
    </w:pPr>
    <w:rPr>
      <w:rFonts w:ascii="Helv" w:hAnsi="Helv"/>
      <w:bCs/>
      <w:color w:val="000000"/>
      <w:sz w:val="20"/>
      <w:szCs w:val="20"/>
      <w:lang w:val="es-ES" w:eastAsia="es-ES"/>
    </w:rPr>
  </w:style>
  <w:style w:type="paragraph" w:styleId="Header">
    <w:name w:val="header"/>
    <w:basedOn w:val="Normal"/>
    <w:link w:val="HeaderChar"/>
    <w:uiPriority w:val="99"/>
    <w:rsid w:val="00B33015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B33015"/>
    <w:rPr>
      <w:sz w:val="24"/>
      <w:szCs w:val="24"/>
      <w:lang w:val="es-AR" w:eastAsia="es-AR"/>
    </w:rPr>
  </w:style>
  <w:style w:type="paragraph" w:styleId="Footer">
    <w:name w:val="footer"/>
    <w:basedOn w:val="Normal"/>
    <w:link w:val="FooterChar"/>
    <w:uiPriority w:val="99"/>
    <w:rsid w:val="00B33015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B33015"/>
    <w:rPr>
      <w:sz w:val="24"/>
      <w:szCs w:val="24"/>
      <w:lang w:val="es-AR" w:eastAsia="es-AR"/>
    </w:rPr>
  </w:style>
  <w:style w:type="paragraph" w:customStyle="1" w:styleId="PwCAddress">
    <w:name w:val="PwC Address"/>
    <w:basedOn w:val="Normal"/>
    <w:link w:val="PwCAddressChar"/>
    <w:uiPriority w:val="99"/>
    <w:qFormat/>
    <w:rsid w:val="00B33015"/>
    <w:pPr>
      <w:spacing w:line="200" w:lineRule="atLeast"/>
    </w:pPr>
    <w:rPr>
      <w:rFonts w:ascii="Georgia" w:eastAsia="Calibri" w:hAnsi="Georgia"/>
      <w:i/>
      <w:noProof/>
      <w:sz w:val="18"/>
      <w:szCs w:val="22"/>
      <w:lang w:val="en-GB" w:eastAsia="en-GB"/>
    </w:rPr>
  </w:style>
  <w:style w:type="character" w:customStyle="1" w:styleId="PwCAddressChar">
    <w:name w:val="PwC Address Char"/>
    <w:link w:val="PwCAddress"/>
    <w:uiPriority w:val="99"/>
    <w:rsid w:val="00B33015"/>
    <w:rPr>
      <w:rFonts w:ascii="Georgia" w:eastAsia="Calibri" w:hAnsi="Georgia" w:cs="Times New Roman"/>
      <w:i/>
      <w:noProof/>
      <w:sz w:val="18"/>
      <w:szCs w:val="22"/>
      <w:lang w:val="en-GB" w:eastAsia="en-GB"/>
    </w:rPr>
  </w:style>
  <w:style w:type="paragraph" w:customStyle="1" w:styleId="Address">
    <w:name w:val="Address"/>
    <w:basedOn w:val="Normal"/>
    <w:link w:val="AddressChar"/>
    <w:uiPriority w:val="99"/>
    <w:rsid w:val="00B33015"/>
    <w:pPr>
      <w:spacing w:line="200" w:lineRule="atLeast"/>
    </w:pPr>
    <w:rPr>
      <w:rFonts w:ascii="Georgia" w:eastAsia="Calibri" w:hAnsi="Georgia"/>
      <w:i/>
      <w:sz w:val="18"/>
      <w:szCs w:val="22"/>
      <w:lang w:val="en-GB" w:eastAsia="en-US"/>
    </w:rPr>
  </w:style>
  <w:style w:type="character" w:customStyle="1" w:styleId="AddressChar">
    <w:name w:val="Address Char"/>
    <w:link w:val="Address"/>
    <w:uiPriority w:val="99"/>
    <w:locked/>
    <w:rsid w:val="00B33015"/>
    <w:rPr>
      <w:rFonts w:ascii="Georgia" w:eastAsia="Calibri" w:hAnsi="Georgia"/>
      <w:i/>
      <w:sz w:val="18"/>
      <w:szCs w:val="22"/>
      <w:lang w:val="en-GB"/>
    </w:rPr>
  </w:style>
  <w:style w:type="character" w:customStyle="1" w:styleId="Heading2Char">
    <w:name w:val="Heading 2 Char"/>
    <w:link w:val="Heading2"/>
    <w:rsid w:val="001B24C2"/>
    <w:rPr>
      <w:b/>
      <w:bCs/>
      <w:snapToGrid w:val="0"/>
      <w:color w:val="000000"/>
      <w:sz w:val="24"/>
      <w:lang w:val="es-UY"/>
    </w:rPr>
  </w:style>
  <w:style w:type="paragraph" w:customStyle="1" w:styleId="Estndar1">
    <w:name w:val="Estándar:1"/>
    <w:basedOn w:val="Normal"/>
    <w:rsid w:val="001B24C2"/>
    <w:rPr>
      <w:rFonts w:ascii="Arial" w:hAnsi="Arial"/>
      <w:szCs w:val="20"/>
      <w:lang w:val="en-US" w:eastAsia="en-US"/>
    </w:rPr>
  </w:style>
  <w:style w:type="paragraph" w:customStyle="1" w:styleId="DSLxStyle">
    <w:name w:val="DSLxStyle"/>
    <w:basedOn w:val="Normal"/>
    <w:link w:val="DSLxStyleChar"/>
    <w:rsid w:val="00E31A2A"/>
    <w:pPr>
      <w:tabs>
        <w:tab w:val="left" w:pos="54"/>
      </w:tabs>
      <w:autoSpaceDE w:val="0"/>
      <w:autoSpaceDN w:val="0"/>
      <w:adjustRightInd w:val="0"/>
      <w:ind w:left="720"/>
      <w:jc w:val="right"/>
    </w:pPr>
    <w:rPr>
      <w:rFonts w:ascii="Georgia" w:hAnsi="Georgia" w:cs="Tms Rmn"/>
      <w:color w:val="666666"/>
      <w:sz w:val="12"/>
      <w:szCs w:val="22"/>
    </w:rPr>
  </w:style>
  <w:style w:type="character" w:customStyle="1" w:styleId="DSLxStyleChar">
    <w:name w:val="DSLxStyle Char"/>
    <w:basedOn w:val="DefaultParagraphFont"/>
    <w:link w:val="DSLxStyle"/>
    <w:rsid w:val="00E31A2A"/>
    <w:rPr>
      <w:rFonts w:ascii="Georgia" w:hAnsi="Georgia" w:cs="Tms Rmn"/>
      <w:color w:val="666666"/>
      <w:sz w:val="12"/>
      <w:szCs w:val="22"/>
      <w:lang w:val="es-AR" w:eastAsia="es-AR"/>
    </w:rPr>
  </w:style>
  <w:style w:type="paragraph" w:styleId="ListParagraph">
    <w:name w:val="List Paragraph"/>
    <w:basedOn w:val="Normal"/>
    <w:link w:val="ListParagraphChar"/>
    <w:uiPriority w:val="34"/>
    <w:qFormat/>
    <w:rsid w:val="00E0512A"/>
    <w:pPr>
      <w:ind w:left="720"/>
      <w:contextualSpacing/>
    </w:pPr>
    <w:rPr>
      <w:lang w:val="es-ES" w:eastAsia="en-US"/>
    </w:rPr>
  </w:style>
  <w:style w:type="character" w:customStyle="1" w:styleId="ListParagraphChar">
    <w:name w:val="List Paragraph Char"/>
    <w:link w:val="ListParagraph"/>
    <w:uiPriority w:val="34"/>
    <w:rsid w:val="00E0512A"/>
    <w:rPr>
      <w:sz w:val="24"/>
      <w:szCs w:val="24"/>
      <w:lang w:val="es-ES"/>
    </w:rPr>
  </w:style>
  <w:style w:type="paragraph" w:styleId="BalloonText">
    <w:name w:val="Balloon Text"/>
    <w:basedOn w:val="Normal"/>
    <w:link w:val="BalloonTextChar"/>
    <w:semiHidden/>
    <w:unhideWhenUsed/>
    <w:rsid w:val="007E08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E08DB"/>
    <w:rPr>
      <w:rFonts w:ascii="Segoe UI" w:hAnsi="Segoe UI" w:cs="Segoe UI"/>
      <w:sz w:val="18"/>
      <w:szCs w:val="18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494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DICTAMEN DE LOS AUDITORES INDEPENDIENTES (1)</vt:lpstr>
    </vt:vector>
  </TitlesOfParts>
  <Company>PricewaterhouseCoopers</Company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DICTAMEN DE LOS AUDITORES INDEPENDIENTES (1)</dc:title>
  <dc:creator>PwC</dc:creator>
  <cp:lastModifiedBy>Joel Guzman</cp:lastModifiedBy>
  <cp:revision>14</cp:revision>
  <cp:lastPrinted>2016-09-26T14:50:00Z</cp:lastPrinted>
  <dcterms:created xsi:type="dcterms:W3CDTF">2016-06-22T20:26:00Z</dcterms:created>
  <dcterms:modified xsi:type="dcterms:W3CDTF">2017-06-13T20:10:00Z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SDCxCLASSFICATION_LEVEL">
    <vt:lpwstr>1</vt:lpwstr>
  </property>
  <property fmtid="{D5CDD505-2E9C-101B-9397-08002B2CF9AE}" pid="3" name="SSDCxCLASSFICATION_USER">
    <vt:lpwstr>SOACAT\mvelazquez006</vt:lpwstr>
  </property>
  <property fmtid="{D5CDD505-2E9C-101B-9397-08002B2CF9AE}" pid="4" name="SSDCxCLASSFICATION_DATE">
    <vt:lpwstr>26/06/2015 02:21:54 p.m.</vt:lpwstr>
  </property>
  <property fmtid="{D5CDD505-2E9C-101B-9397-08002B2CF9AE}" pid="5" name="SSDCxCLASSFICATION_GUID">
    <vt:lpwstr>3CA02DCB057A1DCC53CBFCB6A1AE3549</vt:lpwstr>
  </property>
  <property fmtid="{D5CDD505-2E9C-101B-9397-08002B2CF9AE}" pid="6" name="SSDCxCLASSFICATION_LANG">
    <vt:lpwstr>es</vt:lpwstr>
  </property>
</Properties>
</file>